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168120009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95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9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95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DAN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PROYEK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DAN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PROYEK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TEL12042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TEL12042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SYARIFAH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MUTHIA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PUTRI,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ST,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SYARIFAH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MUTHIA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PUTRI,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ST,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19:00-20:30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R.A.III.4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95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188120059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JOSEP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SITEPU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-179.399pt;width:0pt;height:14.862pt;mso-position-horizontal-relative:page;mso-position-vertical-relative:paragraph;z-index:-953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95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9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9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9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9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