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4732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Statistik Program</w:t>
      </w:r>
      <w:r>
        <w:rPr>
          <w:spacing w:val="-6"/>
        </w:rPr>
        <w:t> </w:t>
      </w:r>
      <w:r>
        <w:rPr/>
        <w:t>Studi</w:t>
        <w:tab/>
        <w:tab/>
        <w:t>: Teknik </w:t>
      </w:r>
      <w:r>
        <w:rPr>
          <w:spacing w:val="-3"/>
        </w:rPr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M. Khafi Zuhanda, S.Si,</w:t>
      </w:r>
      <w:r>
        <w:rPr>
          <w:spacing w:val="-1"/>
          <w:sz w:val="22"/>
        </w:rPr>
        <w:t> </w:t>
      </w:r>
      <w:r>
        <w:rPr>
          <w:sz w:val="22"/>
        </w:rPr>
        <w:t>M.Si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Mariato Stephen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6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168120020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2021-07-29T07:06:06Z</dcterms:created>
  <dcterms:modified xsi:type="dcterms:W3CDTF">2021-07-29T07:06:06Z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