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6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YUAN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YUAN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6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4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74.741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di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