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28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ADAPTI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SY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T.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SY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T.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7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T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88.277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