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4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SENIN</w:t>
      </w:r>
      <w:r>
        <w:rPr>
          <w:sz w:val="26"/>
        </w:rPr>
        <w:t>,</w:t>
      </w:r>
      <w:r>
        <w:rPr>
          <w:b/>
          <w:i/>
          <w:sz w:val="26"/>
        </w:rPr>
        <w:t>25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3"/>
          <w:sz w:val="28"/>
        </w:rPr>
        <w:t> </w:t>
      </w:r>
      <w:r>
        <w:rPr>
          <w:b/>
          <w:sz w:val="28"/>
        </w:rPr>
        <w:t>P.L.C/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VI/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MORANAIN MUNGKIN,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MORANAIN</w:t>
      </w:r>
      <w:r>
        <w:rPr>
          <w:spacing w:val="-1"/>
          <w:sz w:val="28"/>
        </w:rPr>
        <w:t> </w:t>
      </w:r>
      <w:r>
        <w:rPr>
          <w:sz w:val="28"/>
        </w:rPr>
        <w:t>MUNGKIN,</w:t>
      </w:r>
      <w:r>
        <w:rPr>
          <w:spacing w:val="-1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13:00-14:00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50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SENIN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,25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MORANAIN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MUNGKIN,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ST,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M.Si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2022-04-21T03:24:31Z</dcterms:created>
  <dcterms:modified xsi:type="dcterms:W3CDTF">2022-04-21T03:24:31Z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